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A8" w:rsidRPr="00A454A8" w:rsidRDefault="00A454A8" w:rsidP="00A454A8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A454A8">
        <w:rPr>
          <w:rFonts w:ascii="Arial" w:hAnsi="Arial" w:cs="Arial"/>
          <w:b/>
        </w:rPr>
        <w:t xml:space="preserve">SPRAWOZDANIE  Z REALIZACJI ZADANIA: </w:t>
      </w:r>
      <w:r>
        <w:rPr>
          <w:rFonts w:ascii="Arial" w:hAnsi="Arial" w:cs="Arial"/>
          <w:b/>
        </w:rPr>
        <w:t>BUDOWA SIECI KANALIZACJI SANITARNEJ W MIEJSCOWOŚCI BUKOWINA GMINA CEWICE – ETAP I”</w:t>
      </w:r>
    </w:p>
    <w:p w:rsidR="007B1B07" w:rsidRDefault="007B1B07" w:rsidP="007B1B07">
      <w:pPr>
        <w:spacing w:line="360" w:lineRule="auto"/>
        <w:jc w:val="both"/>
        <w:rPr>
          <w:rFonts w:ascii="Arial" w:hAnsi="Arial" w:cs="Arial"/>
        </w:rPr>
      </w:pPr>
    </w:p>
    <w:p w:rsidR="007B1B07" w:rsidRPr="001215EE" w:rsidRDefault="007B1B07" w:rsidP="007B1B07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ramach realizacji zadania wykonano:</w:t>
      </w:r>
    </w:p>
    <w:p w:rsidR="007B1B07" w:rsidRPr="00AE161A" w:rsidRDefault="007B1B07" w:rsidP="007B1B07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/>
          <w:bCs/>
          <w:i/>
          <w:sz w:val="22"/>
          <w:szCs w:val="22"/>
        </w:rPr>
        <w:t xml:space="preserve">Tranzytowy kanał tłoczny od przepompowni PG do Si </w:t>
      </w:r>
    </w:p>
    <w:p w:rsidR="007B1B07" w:rsidRPr="00AE161A" w:rsidRDefault="007B1B07" w:rsidP="007B1B07">
      <w:pPr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Rurociąg tłoczny z rur dwuwarstwowych o śr. Ø125mm x11,4 z PE100 RC SDR11 z drutem miedzianym fabrycznie umieszczonym w płaszczu ochronnym – o dł. min. 2742,7 mb. </w:t>
      </w:r>
    </w:p>
    <w:p w:rsidR="007B1B07" w:rsidRPr="00AE161A" w:rsidRDefault="007B1B07" w:rsidP="007B1B07">
      <w:pPr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Przewód PE 100 Ø 25 SDR17 do napowietrzenia kolektora tłocznego –  o dł. min. 1800 mb</w:t>
      </w:r>
    </w:p>
    <w:p w:rsidR="007B1B07" w:rsidRPr="00AE161A" w:rsidRDefault="007B1B07" w:rsidP="007B1B07">
      <w:pPr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Kanał grawitacyjny PVC o śr. </w:t>
      </w:r>
      <w:r w:rsidRPr="00AE161A">
        <w:rPr>
          <w:rFonts w:ascii="Arial" w:hAnsi="Arial" w:cs="Arial"/>
          <w:bCs/>
          <w:sz w:val="22"/>
          <w:szCs w:val="22"/>
          <w:lang w:val="en-US"/>
        </w:rPr>
        <w:t>Ø 200 mm SN8 SDR34 – L=9,5 mb</w:t>
      </w:r>
    </w:p>
    <w:p w:rsidR="007B1B07" w:rsidRPr="00AE161A" w:rsidRDefault="007B1B07" w:rsidP="007B1B07">
      <w:pPr>
        <w:numPr>
          <w:ilvl w:val="0"/>
          <w:numId w:val="26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Uzbrojenie kanału tranzytowego: </w:t>
      </w:r>
    </w:p>
    <w:p w:rsidR="007B1B07" w:rsidRPr="00AE161A" w:rsidRDefault="007B1B07" w:rsidP="007B1B07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kolumny napowietrzająco-odpowietrzające DN125 - 3 kpl, </w:t>
      </w:r>
    </w:p>
    <w:p w:rsidR="007B1B07" w:rsidRPr="00AE161A" w:rsidRDefault="007B1B07" w:rsidP="007B1B07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kolumny płucząco-spustowe DN125 – 2 kpl ,</w:t>
      </w:r>
    </w:p>
    <w:p w:rsidR="007B1B07" w:rsidRPr="00AE161A" w:rsidRDefault="007B1B07" w:rsidP="007B1B07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studnia rozprężna z tworzywa sztucznego o śr. 1000 mm- 1 szt., </w:t>
      </w:r>
    </w:p>
    <w:p w:rsidR="007B1B07" w:rsidRPr="00AE161A" w:rsidRDefault="007B1B07" w:rsidP="007B1B07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studnie rewizyjne z kręgów betonowych o śr. 1200 mm (studnia odwodnieniowa i rozdziału powietrza Sodw1 i Sodw2) – 2 szt. wraz z pełnym wyposażeniem komory Sodw – 2 kpl.</w:t>
      </w:r>
    </w:p>
    <w:p w:rsidR="007B1B07" w:rsidRPr="00AE161A" w:rsidRDefault="007B1B07" w:rsidP="007B1B07">
      <w:pPr>
        <w:rPr>
          <w:rFonts w:ascii="Arial" w:hAnsi="Arial" w:cs="Arial"/>
          <w:bCs/>
          <w:sz w:val="22"/>
          <w:szCs w:val="22"/>
        </w:rPr>
      </w:pPr>
    </w:p>
    <w:p w:rsidR="007B1B07" w:rsidRPr="00AE161A" w:rsidRDefault="007B1B07" w:rsidP="007B1B07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/>
          <w:bCs/>
          <w:i/>
          <w:sz w:val="22"/>
          <w:szCs w:val="22"/>
        </w:rPr>
        <w:t>Zlewni</w:t>
      </w:r>
      <w:r>
        <w:rPr>
          <w:rFonts w:ascii="Arial" w:hAnsi="Arial" w:cs="Arial"/>
          <w:b/>
          <w:bCs/>
          <w:i/>
          <w:sz w:val="22"/>
          <w:szCs w:val="22"/>
        </w:rPr>
        <w:t>ę</w:t>
      </w:r>
      <w:r w:rsidRPr="00AE161A">
        <w:rPr>
          <w:rFonts w:ascii="Arial" w:hAnsi="Arial" w:cs="Arial"/>
          <w:b/>
          <w:bCs/>
          <w:i/>
          <w:sz w:val="22"/>
          <w:szCs w:val="22"/>
        </w:rPr>
        <w:t xml:space="preserve"> pompowni głównej PG (dz. 41/3)- </w:t>
      </w:r>
      <w:r w:rsidRPr="00AE161A">
        <w:rPr>
          <w:rFonts w:ascii="Arial" w:hAnsi="Arial" w:cs="Arial"/>
          <w:bCs/>
          <w:sz w:val="22"/>
          <w:szCs w:val="22"/>
        </w:rPr>
        <w:t xml:space="preserve">obsługuje </w:t>
      </w:r>
      <w:r>
        <w:rPr>
          <w:rFonts w:ascii="Arial" w:hAnsi="Arial" w:cs="Arial"/>
          <w:bCs/>
          <w:sz w:val="22"/>
          <w:szCs w:val="22"/>
        </w:rPr>
        <w:t xml:space="preserve">ona </w:t>
      </w:r>
      <w:r w:rsidRPr="00AE161A">
        <w:rPr>
          <w:rFonts w:ascii="Arial" w:hAnsi="Arial" w:cs="Arial"/>
          <w:bCs/>
          <w:sz w:val="22"/>
          <w:szCs w:val="22"/>
        </w:rPr>
        <w:t>większość obszaru m. Bukowina za pośrednictwem kolektorów grawitacyjnych. Do tej zlewni wtłaczane są ścieki ze zlewni sąsiadujących. Poprzez pompownię PG ścieki sanitarne przetłaczane są przewodem tranzytowym do istniejącej kanalizacji w m. Łebunia.</w:t>
      </w:r>
    </w:p>
    <w:p w:rsidR="007B1B07" w:rsidRPr="00AE161A" w:rsidRDefault="007B1B07" w:rsidP="007B1B07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Kanalizacja sanitarna grawitacyjna Ø 200 PVC SN8 SDR34 - L=4326,8 mb </w:t>
      </w:r>
    </w:p>
    <w:p w:rsidR="007B1B07" w:rsidRPr="00AE161A" w:rsidRDefault="007B1B07" w:rsidP="007B1B07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Kanalizacja sanitarna grawitacyjna Ø 200 PE 100RC SDR17 -  L=147,5 m </w:t>
      </w:r>
    </w:p>
    <w:p w:rsidR="007B1B07" w:rsidRPr="00AE161A" w:rsidRDefault="007B1B07" w:rsidP="007B1B07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Kanalizacja sanitarna grawitacyjna Ø 160 PVC SN8 SDR34 -  L=133,6 mb </w:t>
      </w:r>
    </w:p>
    <w:p w:rsidR="007B1B07" w:rsidRPr="00AE161A" w:rsidRDefault="007B1B07" w:rsidP="007B1B07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Uzbrojenie kanalizacji grawitacyjnej: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kanalizacyjne tworzywowe DN630 z polipropylenu PP-B z włazem żeliwno-betonowym o nośności 40t  – 10 szt.,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betonowe o śr. wewnętrznej DW1000, z betonu C35/45 W 10,  z stopniami złazowymi w otulinie z tworzywa oraz włazem typu ciężkiego.– 106 szt.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betonowe o śr. wewnętrznej DW1200, z betonu C35/45 W 10,  ze stopniami złazowymi w otulinie z tworzywa oraz włazem typu ciężkiego.– 4 szt. </w:t>
      </w:r>
    </w:p>
    <w:p w:rsidR="007B1B07" w:rsidRPr="00AE161A" w:rsidRDefault="007B1B07" w:rsidP="007B1B07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Przepompownię Główną</w:t>
      </w:r>
      <w:r w:rsidRPr="00AE161A">
        <w:rPr>
          <w:rFonts w:ascii="Arial" w:hAnsi="Arial" w:cs="Arial"/>
          <w:b/>
          <w:bCs/>
          <w:sz w:val="22"/>
          <w:szCs w:val="22"/>
        </w:rPr>
        <w:t xml:space="preserve">  PG</w:t>
      </w:r>
      <w:r>
        <w:rPr>
          <w:rFonts w:ascii="Arial" w:hAnsi="Arial" w:cs="Arial"/>
          <w:bCs/>
          <w:sz w:val="22"/>
          <w:szCs w:val="22"/>
        </w:rPr>
        <w:t xml:space="preserve">  ( 2 pompowa , sucha</w:t>
      </w:r>
      <w:r w:rsidRPr="00AE161A">
        <w:rPr>
          <w:rFonts w:ascii="Arial" w:hAnsi="Arial" w:cs="Arial"/>
          <w:bCs/>
          <w:sz w:val="22"/>
          <w:szCs w:val="22"/>
        </w:rPr>
        <w:t>) zlokalizowana na dz. 41/3 obręb  Bukowina wraz z kompletnym wyposażeniem i uzbrojeniem, rozdzielnicą przepompowni, systemem sterowania, przesyłu danych i wizualizacji, systemem napowietrzania.  Zbiornik przepompowni żelbetowy o śr. wewn. min. 2500 mm i H 5000 mm posadowiony na płycie z betonu.</w:t>
      </w:r>
    </w:p>
    <w:p w:rsidR="007B1B07" w:rsidRPr="00AE161A" w:rsidRDefault="007B1B07" w:rsidP="007B1B07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Zagospodarowanie przepompowni: 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oświetlenie – lampa typu parkowego z oprawą LED z wyłącznikiem zmierzchowym i czujnikiem ruchu.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 ogrodzenie o wym. 12x6 m systemowe z paneli ogrodzeniowych ocynkowanych malowanych proszkowo o H=1,8 m, mocowane na słupkach, na podmurówce. Brama wjazdowa o szer. 3,5 m i H=1,8 m wraz z furtką o szer. min.1 m.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utwardzenie terenu z kostki betonowej o gr. 8 cm – min. 72m²</w:t>
      </w:r>
    </w:p>
    <w:p w:rsidR="007B1B07" w:rsidRPr="00AE161A" w:rsidRDefault="007B1B07" w:rsidP="007B1B07">
      <w:pPr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Zasilanie energetyczne do przepompowni zgodnie z projektem budowlanym branży elektrycznej. </w:t>
      </w:r>
    </w:p>
    <w:p w:rsidR="007B1B07" w:rsidRPr="00AE161A" w:rsidRDefault="007B1B07" w:rsidP="007B1B07">
      <w:pPr>
        <w:rPr>
          <w:rFonts w:ascii="Arial" w:hAnsi="Arial" w:cs="Arial"/>
          <w:bCs/>
          <w:sz w:val="22"/>
          <w:szCs w:val="22"/>
        </w:rPr>
      </w:pPr>
    </w:p>
    <w:p w:rsidR="007B1B07" w:rsidRPr="00AE161A" w:rsidRDefault="007B1B07" w:rsidP="007B1B07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Zlewnię</w:t>
      </w:r>
      <w:r w:rsidRPr="00AE161A">
        <w:rPr>
          <w:rFonts w:ascii="Arial" w:hAnsi="Arial" w:cs="Arial"/>
          <w:b/>
          <w:bCs/>
          <w:i/>
          <w:sz w:val="22"/>
          <w:szCs w:val="22"/>
        </w:rPr>
        <w:t xml:space="preserve"> pompowni PL-1 </w:t>
      </w:r>
      <w:r w:rsidRPr="00AE161A">
        <w:rPr>
          <w:rFonts w:ascii="Arial" w:hAnsi="Arial" w:cs="Arial"/>
          <w:bCs/>
          <w:sz w:val="22"/>
          <w:szCs w:val="22"/>
        </w:rPr>
        <w:t xml:space="preserve">– obsługuje </w:t>
      </w:r>
      <w:r>
        <w:rPr>
          <w:rFonts w:ascii="Arial" w:hAnsi="Arial" w:cs="Arial"/>
          <w:bCs/>
          <w:sz w:val="22"/>
          <w:szCs w:val="22"/>
        </w:rPr>
        <w:t xml:space="preserve">ona </w:t>
      </w:r>
      <w:r w:rsidRPr="00AE161A">
        <w:rPr>
          <w:rFonts w:ascii="Arial" w:hAnsi="Arial" w:cs="Arial"/>
          <w:bCs/>
          <w:sz w:val="22"/>
          <w:szCs w:val="22"/>
        </w:rPr>
        <w:t xml:space="preserve">obszar zabudowy jednorodzinnej za pośrednictwem kolektorów grawitacyjnych. Poprzez pompownię lokalną PL1 ścieki wtłaczane są do przewodu tranzytowego  i z pompowni głównej PG tłoczone do Łebuni.  </w:t>
      </w:r>
    </w:p>
    <w:p w:rsidR="007B1B07" w:rsidRPr="00AE161A" w:rsidRDefault="007B1B07" w:rsidP="007B1B07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Kanalizacja sanitarna grawitacyjna Ø 200 PVC SN8 SDR34 - L=1072,2 m w tym </w:t>
      </w:r>
      <w:r w:rsidRPr="00AE161A">
        <w:rPr>
          <w:rFonts w:ascii="Arial" w:hAnsi="Arial" w:cs="Arial"/>
          <w:bCs/>
          <w:sz w:val="22"/>
          <w:szCs w:val="22"/>
        </w:rPr>
        <w:lastRenderedPageBreak/>
        <w:t xml:space="preserve">przejście pod drogą wojewódzką nr 214 przewodu kanalizacyjnego  w rurze ochronnej HDPE Ø 355 o L=22 m. </w:t>
      </w:r>
    </w:p>
    <w:p w:rsidR="007B1B07" w:rsidRPr="00AE161A" w:rsidRDefault="007B1B07" w:rsidP="007B1B07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Kanalizacja sanitarna grawitacyjna Ø 160 PVC SN8 SDR34 - L=138,8 mb</w:t>
      </w:r>
    </w:p>
    <w:p w:rsidR="007B1B07" w:rsidRPr="00AE161A" w:rsidRDefault="007B1B07" w:rsidP="007B1B07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Uzbrojenie kanalizacji grawitacyjnej: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kanalizacyjne tworzywowe DN630 z polipropylenu PP-B z włazem żeliwno-betonowym o nośności 40t  – 13 szt.,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betonowe o śr. wewnętrznej DW1000, z betonu C35/45 W 10,  ze stopniami złazowymi w otulinie z tworzywa oraz włazem typu ciężkiego.– 17 szt. </w:t>
      </w:r>
    </w:p>
    <w:p w:rsidR="007B1B07" w:rsidRPr="00AE161A" w:rsidRDefault="007B1B07" w:rsidP="007B1B07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Kanalizacja sanitarna tłoczna Ø 90 PE100RC SDR17  - 4,7 mb</w:t>
      </w:r>
    </w:p>
    <w:p w:rsidR="007B1B07" w:rsidRPr="00AE161A" w:rsidRDefault="007B1B07" w:rsidP="007B1B07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/>
          <w:bCs/>
          <w:sz w:val="22"/>
          <w:szCs w:val="22"/>
        </w:rPr>
        <w:t>Przepompownia PL-1</w:t>
      </w:r>
      <w:r w:rsidRPr="00AE161A">
        <w:rPr>
          <w:rFonts w:ascii="Arial" w:hAnsi="Arial" w:cs="Arial"/>
          <w:bCs/>
          <w:sz w:val="22"/>
          <w:szCs w:val="22"/>
        </w:rPr>
        <w:t xml:space="preserve"> (2 pompowa , przejazdowa) zlokalizowana na dz. 149/1 wraz z kompletnym wyposażeniem i uzbrojeniem, rozdzielnicą przepompowni, systemem sterowania, przesyłu danych i wizualizacji. Zbiornik przepompowni z kręgów betonowych C45/55 wraz z przejściami szczelnymi o śr. wewn. min. 1200 mm i H min. 3300 mm ,posadowiony na płycie z betonu. Zbiornik wyposażony w elementy  zgodnie z projektem budowlanym</w:t>
      </w:r>
    </w:p>
    <w:p w:rsidR="007B1B07" w:rsidRPr="00AE161A" w:rsidRDefault="007B1B07" w:rsidP="007B1B07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Zagospodarowanie przepompowni: 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oświetlenie – lampa typu parkowego z oprawą LED z wyłącznikiem zmierzchowym i czujnikiem ruchu posadowiona na prefabrykowanym fundamencie betonowym.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utwardzenie terenu z kostki betonowej o gr. 8 cm – min.15,9 m², krawężnik betonowy wtopiony.</w:t>
      </w:r>
    </w:p>
    <w:p w:rsidR="007B1B07" w:rsidRPr="00AE161A" w:rsidRDefault="007B1B07" w:rsidP="007B1B07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Zasilanie energetyczne do przepompowni zgodnie z projektem budowlanym branży elektrycznej</w:t>
      </w:r>
    </w:p>
    <w:p w:rsidR="007B1B07" w:rsidRPr="00AE161A" w:rsidRDefault="007B1B07" w:rsidP="007B1B07">
      <w:pPr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Przyłącze do kanalizacji sanitarnej do dz. 149/7 wykonane z rur PVC o śr. Ø 160 SN8 SDR34 L=47,9 m, studnia tworzywowa DN630 z włazem żeliwno-betonowym – 1 szt.</w:t>
      </w:r>
    </w:p>
    <w:p w:rsidR="007B1B07" w:rsidRPr="00AE161A" w:rsidRDefault="007B1B07" w:rsidP="007B1B07">
      <w:pPr>
        <w:rPr>
          <w:rFonts w:ascii="Arial" w:hAnsi="Arial" w:cs="Arial"/>
          <w:bCs/>
          <w:sz w:val="22"/>
          <w:szCs w:val="22"/>
        </w:rPr>
      </w:pPr>
    </w:p>
    <w:p w:rsidR="007B1B07" w:rsidRPr="00AE161A" w:rsidRDefault="007B1B07" w:rsidP="007B1B07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Zlewnię</w:t>
      </w:r>
      <w:r w:rsidRPr="00AE161A">
        <w:rPr>
          <w:rFonts w:ascii="Arial" w:hAnsi="Arial" w:cs="Arial"/>
          <w:b/>
          <w:bCs/>
          <w:i/>
          <w:sz w:val="22"/>
          <w:szCs w:val="22"/>
        </w:rPr>
        <w:t xml:space="preserve"> pompowni PL-2 </w:t>
      </w:r>
      <w:r w:rsidRPr="00AE161A">
        <w:rPr>
          <w:rFonts w:ascii="Arial" w:hAnsi="Arial" w:cs="Arial"/>
          <w:bCs/>
          <w:sz w:val="22"/>
          <w:szCs w:val="22"/>
        </w:rPr>
        <w:t>- obsługuje obszar zabudowy jednorodzinnej (obok Jeziora Bukowińskiego) za pośrednictwem kolektorów grawitacyjnych. Poprzez pompownię lokalną PL-2 ścieki sanitarne wtłaczane są do zlewni grawitacyjnej głównej pompowni PG</w:t>
      </w:r>
    </w:p>
    <w:p w:rsidR="007B1B07" w:rsidRPr="00AE161A" w:rsidRDefault="007B1B07" w:rsidP="007B1B07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Kanalizacja sanitarna grawitacyjna Ø 200 PVC SN8 SDR34 - L=184,9 mb</w:t>
      </w:r>
    </w:p>
    <w:p w:rsidR="007B1B07" w:rsidRPr="00AE161A" w:rsidRDefault="007B1B07" w:rsidP="007B1B07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Uzbrojenie kanalizacji grawitacyjnej: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kanalizacyjne tworzywowe DN630 z polipropylenu PP-B z włazem żeliwno-betonowym o nośności 40t  – 2 szt.,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betonowe o śr. wewnętrznej DW1000, z betonu C35/45 W 10,  ze stopniami złazowymi w otulinie z tworzywa oraz włazem typu ciężkiego.– 3 szt. </w:t>
      </w:r>
    </w:p>
    <w:p w:rsidR="007B1B07" w:rsidRPr="00AE161A" w:rsidRDefault="007B1B07" w:rsidP="007B1B07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Kanalizacja sanitarna tłoczna Ø 90 PE100RC SDR17  - 154,4 mb</w:t>
      </w:r>
    </w:p>
    <w:p w:rsidR="007B1B07" w:rsidRPr="00AE161A" w:rsidRDefault="007B1B07" w:rsidP="007B1B07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/>
          <w:bCs/>
          <w:i/>
          <w:sz w:val="22"/>
          <w:szCs w:val="22"/>
        </w:rPr>
        <w:t>Przepompownia PL-2</w:t>
      </w:r>
      <w:r w:rsidRPr="00AE161A">
        <w:rPr>
          <w:rFonts w:ascii="Arial" w:hAnsi="Arial" w:cs="Arial"/>
          <w:bCs/>
          <w:i/>
          <w:sz w:val="22"/>
          <w:szCs w:val="22"/>
        </w:rPr>
        <w:t xml:space="preserve"> </w:t>
      </w:r>
      <w:r w:rsidRPr="00AE161A">
        <w:rPr>
          <w:rFonts w:ascii="Arial" w:hAnsi="Arial" w:cs="Arial"/>
          <w:bCs/>
          <w:sz w:val="22"/>
          <w:szCs w:val="22"/>
        </w:rPr>
        <w:t>( 2 pompowa, przejazdowa, nieogrodzona)) zlokalizowana na dz. 206/13</w:t>
      </w:r>
      <w:r w:rsidRPr="00AE161A">
        <w:rPr>
          <w:rFonts w:ascii="Arial" w:hAnsi="Arial" w:cs="Arial"/>
          <w:bCs/>
          <w:i/>
          <w:sz w:val="22"/>
          <w:szCs w:val="22"/>
        </w:rPr>
        <w:t xml:space="preserve"> </w:t>
      </w:r>
      <w:r w:rsidRPr="00AE161A">
        <w:rPr>
          <w:rFonts w:ascii="Arial" w:hAnsi="Arial" w:cs="Arial"/>
          <w:bCs/>
          <w:sz w:val="22"/>
          <w:szCs w:val="22"/>
        </w:rPr>
        <w:t>wraz z kompletnym wyposażeniem i uzbrojeniem, rozdzielnicą przepompowni, systemem sterowania, przesyłu danych i wizualizacji. Zbiornik przepompowni z kręgów betonowych C45/55 wraz z przejściami szczelnymi o śr. wewn. min. 1200 mm i H min. 3300 mm posadowiony na płycie z betonu. Zbiornik wyposażony w elementy  zgodnie z projektem budowlanym</w:t>
      </w:r>
    </w:p>
    <w:p w:rsidR="007B1B07" w:rsidRPr="00AE161A" w:rsidRDefault="007B1B07" w:rsidP="007B1B07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Zagospodarowanie przepompowni: 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oświetlenie – lampa typu parkowego z oprawą LED z wyłącznikiem zmierzchowym i czujnikiem ruchu posadowiona na prefabrykowanym fundamencie betonowym.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utwardzenie terenu z kostki betonowej o gr. 8 cm – min.30,1 m², krawężnik betonowy wtopiony.</w:t>
      </w:r>
    </w:p>
    <w:p w:rsidR="007B1B07" w:rsidRPr="00AE161A" w:rsidRDefault="007B1B07" w:rsidP="007B1B07">
      <w:pPr>
        <w:numPr>
          <w:ilvl w:val="0"/>
          <w:numId w:val="28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Zasilanie energetyczne do przepompowni zgodnie z projektem budowlanym branży elektrycznej</w:t>
      </w:r>
    </w:p>
    <w:p w:rsidR="007B1B07" w:rsidRPr="00AE161A" w:rsidRDefault="007B1B07" w:rsidP="007B1B07">
      <w:pPr>
        <w:rPr>
          <w:rFonts w:ascii="Arial" w:hAnsi="Arial" w:cs="Arial"/>
          <w:b/>
          <w:bCs/>
          <w:i/>
          <w:sz w:val="22"/>
          <w:szCs w:val="22"/>
        </w:rPr>
      </w:pPr>
    </w:p>
    <w:p w:rsidR="007B1B07" w:rsidRPr="00AE161A" w:rsidRDefault="007B1B07" w:rsidP="007B1B07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/>
          <w:bCs/>
          <w:i/>
          <w:sz w:val="22"/>
          <w:szCs w:val="22"/>
        </w:rPr>
        <w:t>Zlewni</w:t>
      </w:r>
      <w:r>
        <w:rPr>
          <w:rFonts w:ascii="Arial" w:hAnsi="Arial" w:cs="Arial"/>
          <w:b/>
          <w:bCs/>
          <w:i/>
          <w:sz w:val="22"/>
          <w:szCs w:val="22"/>
        </w:rPr>
        <w:t>ę</w:t>
      </w:r>
      <w:r w:rsidRPr="00AE161A">
        <w:rPr>
          <w:rFonts w:ascii="Arial" w:hAnsi="Arial" w:cs="Arial"/>
          <w:b/>
          <w:bCs/>
          <w:i/>
          <w:sz w:val="22"/>
          <w:szCs w:val="22"/>
        </w:rPr>
        <w:t xml:space="preserve"> pompowni PL-3</w:t>
      </w:r>
      <w:r w:rsidRPr="00AE161A">
        <w:rPr>
          <w:rFonts w:ascii="Arial" w:hAnsi="Arial" w:cs="Arial"/>
          <w:bCs/>
          <w:i/>
          <w:sz w:val="22"/>
          <w:szCs w:val="22"/>
        </w:rPr>
        <w:t xml:space="preserve"> - </w:t>
      </w:r>
      <w:r w:rsidRPr="00AE161A">
        <w:rPr>
          <w:rFonts w:ascii="Arial" w:hAnsi="Arial" w:cs="Arial"/>
          <w:bCs/>
          <w:sz w:val="22"/>
          <w:szCs w:val="22"/>
        </w:rPr>
        <w:t>obsługuje obszar zabudowy jednorodzinnej za pośrednictwem kolektorów grawitacyjnych. Poprzez pompownię lokalną PL-3 ścieki sanitarne  wtłaczane są do zlewni grawitacyjnej głównej pompowni PG.</w:t>
      </w:r>
    </w:p>
    <w:p w:rsidR="007B1B07" w:rsidRPr="00AE161A" w:rsidRDefault="007B1B07" w:rsidP="007B1B07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Kanalizacja sanitarna grawitacyjna Ø 200 PVC SN8 SDR34 - L=611,0 mb</w:t>
      </w:r>
    </w:p>
    <w:p w:rsidR="007B1B07" w:rsidRPr="00AE161A" w:rsidRDefault="007B1B07" w:rsidP="007B1B07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Kanalizacja sanitarna grawitacyjna Ø 160 PVC SN8 SDR34 - L=39,3 mb </w:t>
      </w:r>
    </w:p>
    <w:p w:rsidR="007B1B07" w:rsidRPr="00AE161A" w:rsidRDefault="007B1B07" w:rsidP="007B1B07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lastRenderedPageBreak/>
        <w:t xml:space="preserve">Uzbrojenie kanalizacji grawitacyjnej: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kanalizacyjne tworzywowe DN630 z polipropylenu PP-B z włazem żeliwno-betonowym o nośności 40t  – 4 szt.,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betonowe o śr. wewnętrznej DW1000, z betonu C35/45 W 10,  ze stopniami złazowymi w otulinie z tworzywa oraz włazem typu ciężkiego.– 12 szt. </w:t>
      </w:r>
    </w:p>
    <w:p w:rsidR="007B1B07" w:rsidRPr="00AE161A" w:rsidRDefault="007B1B07" w:rsidP="007B1B07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Kanalizacja sanitarna tłoczna Ø 90 PE100RC SDR17  - 11,9 mb</w:t>
      </w:r>
    </w:p>
    <w:p w:rsidR="007B1B07" w:rsidRPr="00AE161A" w:rsidRDefault="007B1B07" w:rsidP="007B1B07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/>
          <w:bCs/>
          <w:sz w:val="22"/>
          <w:szCs w:val="22"/>
        </w:rPr>
        <w:t xml:space="preserve">Przepompownia PL-3 </w:t>
      </w:r>
      <w:r w:rsidRPr="00AE161A">
        <w:rPr>
          <w:rFonts w:ascii="Arial" w:hAnsi="Arial" w:cs="Arial"/>
          <w:bCs/>
          <w:sz w:val="22"/>
          <w:szCs w:val="22"/>
        </w:rPr>
        <w:t>( 2 pompowa) zlokalizowana na dz. 237 obręb Bukowina</w:t>
      </w:r>
      <w:r w:rsidRPr="00AE161A">
        <w:rPr>
          <w:rFonts w:ascii="Arial" w:hAnsi="Arial" w:cs="Arial"/>
          <w:bCs/>
          <w:i/>
          <w:sz w:val="22"/>
          <w:szCs w:val="22"/>
        </w:rPr>
        <w:t xml:space="preserve"> </w:t>
      </w:r>
      <w:r w:rsidRPr="00AE161A">
        <w:rPr>
          <w:rFonts w:ascii="Arial" w:hAnsi="Arial" w:cs="Arial"/>
          <w:bCs/>
          <w:sz w:val="22"/>
          <w:szCs w:val="22"/>
        </w:rPr>
        <w:t>wraz z kompletnym wyposażeniem i uzbrojeniem, rozdzielnicą przepompowni, systemem sterowania, przesyłu danych i wizualizacji. Zbiornik przepompowni z kręgów betonowych C45/55 wraz z przejściami szczelnymi o śr. wewn. min. 1500 mm i H 3700 mm posadowiony na płycie z betonu. Zbiornik wyposażony w elementy  zgodnie z projektem budowlanym</w:t>
      </w:r>
    </w:p>
    <w:p w:rsidR="007B1B07" w:rsidRPr="00AE161A" w:rsidRDefault="007B1B07" w:rsidP="007B1B07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Zagospodarowanie przepompowni: </w:t>
      </w:r>
    </w:p>
    <w:p w:rsidR="007B1B07" w:rsidRPr="001215EE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1215EE">
        <w:rPr>
          <w:rFonts w:ascii="Arial" w:hAnsi="Arial" w:cs="Arial"/>
          <w:bCs/>
          <w:sz w:val="22"/>
          <w:szCs w:val="22"/>
        </w:rPr>
        <w:t>oświetlenie – lampa typu parkowego z oprawą LED z wyłącznikiem zmierzchowym i czujnikiem ruchu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 ogrodzenie o wym. 4,7x4 m systemowe z paneli ogrodzeniowych ocynkowanych malowanych proszkowo o H=1,8 m, mocowane na słupkach, na podmurówce. Brama wjazdowa o szer. 3,0 m i H=1,8 m wraz z furtką o szer. min.1 m.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utwardzenie terenu z kostki betonowej o gr. 8 cm – min. 18,8 m²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żurawik</w:t>
      </w:r>
      <w:r w:rsidRPr="00AE161A">
        <w:rPr>
          <w:rFonts w:ascii="Arial" w:hAnsi="Arial" w:cs="Arial"/>
          <w:bCs/>
          <w:sz w:val="22"/>
          <w:szCs w:val="22"/>
        </w:rPr>
        <w:t xml:space="preserve"> ze stali ocynkowanej , o nośności dostosowanej do masy pompy w pompowni.</w:t>
      </w:r>
    </w:p>
    <w:p w:rsidR="007B1B07" w:rsidRPr="00AE161A" w:rsidRDefault="007B1B07" w:rsidP="007B1B07">
      <w:pPr>
        <w:numPr>
          <w:ilvl w:val="0"/>
          <w:numId w:val="29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Zasilanie energetyczne do przepompowni zgodnie z projektem budowlanym branży elektrycznej</w:t>
      </w:r>
    </w:p>
    <w:p w:rsidR="007B1B07" w:rsidRPr="00AE161A" w:rsidRDefault="007B1B07" w:rsidP="007B1B07">
      <w:pPr>
        <w:rPr>
          <w:rFonts w:ascii="Arial" w:hAnsi="Arial" w:cs="Arial"/>
          <w:b/>
          <w:bCs/>
          <w:i/>
          <w:sz w:val="22"/>
          <w:szCs w:val="22"/>
        </w:rPr>
      </w:pPr>
    </w:p>
    <w:p w:rsidR="007B1B07" w:rsidRPr="00AE161A" w:rsidRDefault="007B1B07" w:rsidP="007B1B07">
      <w:pPr>
        <w:numPr>
          <w:ilvl w:val="0"/>
          <w:numId w:val="33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Zlewnię</w:t>
      </w:r>
      <w:r w:rsidRPr="00AE161A">
        <w:rPr>
          <w:rFonts w:ascii="Arial" w:hAnsi="Arial" w:cs="Arial"/>
          <w:b/>
          <w:bCs/>
          <w:i/>
          <w:sz w:val="22"/>
          <w:szCs w:val="22"/>
        </w:rPr>
        <w:t xml:space="preserve"> pompowni PL-6</w:t>
      </w:r>
      <w:r w:rsidRPr="00AE161A">
        <w:rPr>
          <w:rFonts w:ascii="Arial" w:hAnsi="Arial" w:cs="Arial"/>
          <w:bCs/>
          <w:i/>
          <w:sz w:val="22"/>
          <w:szCs w:val="22"/>
        </w:rPr>
        <w:t xml:space="preserve"> </w:t>
      </w:r>
      <w:r w:rsidRPr="00AE161A">
        <w:rPr>
          <w:rFonts w:ascii="Arial" w:hAnsi="Arial" w:cs="Arial"/>
          <w:bCs/>
          <w:sz w:val="22"/>
          <w:szCs w:val="22"/>
        </w:rPr>
        <w:t>- obsługuje obszar zabudowy jednorodzinnej w rejonie drogi gminnej dz. 246/1 za pośrednictwem kolektorów grawitacyjnych. Poprzez pompownię lokalną PL-6 ścieki sanitarne wtłaczane są do przewodu tranzytowego z pompowni głównej PG do m. Łebunia.</w:t>
      </w:r>
    </w:p>
    <w:p w:rsidR="007B1B07" w:rsidRPr="00AE161A" w:rsidRDefault="007B1B07" w:rsidP="007B1B07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Kanalizacja sanitarna grawitacyjna Ø 200 PVC SN8 SDR34-  L=624,6 m</w:t>
      </w:r>
    </w:p>
    <w:p w:rsidR="007B1B07" w:rsidRPr="00AE161A" w:rsidRDefault="007B1B07" w:rsidP="007B1B07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Uzbrojenie kanalizacji grawitacyjnej: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kanalizacyjne tworzywowe DN630 z polipropylenu PP-B z włazem żeliwno-betonowym o nośności 40t  – 9 szt., </w:t>
      </w:r>
    </w:p>
    <w:p w:rsidR="007B1B07" w:rsidRPr="00AE161A" w:rsidRDefault="007B1B07" w:rsidP="007B1B07">
      <w:pPr>
        <w:numPr>
          <w:ilvl w:val="0"/>
          <w:numId w:val="31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studnie betonowe o śr. wewnętrznej DW1000, z betonu C35/45 W 10,  z stopniami złazowymi w otulinie z tworzywa oraz włazem typu ciężkiego.– 10 szt. </w:t>
      </w:r>
    </w:p>
    <w:p w:rsidR="007B1B07" w:rsidRPr="00AE161A" w:rsidRDefault="007B1B07" w:rsidP="007B1B07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Kanalizacja sanitarna tłoczna Ø 90 PE100RC SDR17  - 3,6 mb</w:t>
      </w:r>
    </w:p>
    <w:p w:rsidR="007B1B07" w:rsidRPr="00AE161A" w:rsidRDefault="007B1B07" w:rsidP="007B1B07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/>
          <w:bCs/>
          <w:sz w:val="22"/>
          <w:szCs w:val="22"/>
        </w:rPr>
        <w:t>Przepompownia PL-6</w:t>
      </w:r>
      <w:r w:rsidRPr="00AE161A">
        <w:rPr>
          <w:rFonts w:ascii="Arial" w:hAnsi="Arial" w:cs="Arial"/>
          <w:bCs/>
          <w:sz w:val="22"/>
          <w:szCs w:val="22"/>
        </w:rPr>
        <w:t xml:space="preserve"> ( 2 pompowa, przejazdowa, nieogrodzona) zlokalizowana na dz.246/1</w:t>
      </w:r>
      <w:r w:rsidRPr="00AE161A">
        <w:rPr>
          <w:rFonts w:ascii="Arial" w:hAnsi="Arial" w:cs="Arial"/>
          <w:bCs/>
          <w:i/>
          <w:sz w:val="22"/>
          <w:szCs w:val="22"/>
        </w:rPr>
        <w:t xml:space="preserve"> </w:t>
      </w:r>
      <w:r w:rsidRPr="00AE161A">
        <w:rPr>
          <w:rFonts w:ascii="Arial" w:hAnsi="Arial" w:cs="Arial"/>
          <w:bCs/>
          <w:sz w:val="22"/>
          <w:szCs w:val="22"/>
        </w:rPr>
        <w:t>obręb Bukowina</w:t>
      </w:r>
      <w:r w:rsidRPr="00AE161A">
        <w:rPr>
          <w:rFonts w:ascii="Arial" w:hAnsi="Arial" w:cs="Arial"/>
          <w:bCs/>
          <w:i/>
          <w:sz w:val="22"/>
          <w:szCs w:val="22"/>
        </w:rPr>
        <w:t xml:space="preserve"> </w:t>
      </w:r>
      <w:r w:rsidRPr="00AE161A">
        <w:rPr>
          <w:rFonts w:ascii="Arial" w:hAnsi="Arial" w:cs="Arial"/>
          <w:bCs/>
          <w:sz w:val="22"/>
          <w:szCs w:val="22"/>
        </w:rPr>
        <w:t>wraz z kompletnym wyposażeniem i uzbrojeniem, rozdzielnicą przepompowni, systemem sterowania, przesyłu danych i wizualizacji. Zbiornik przepompowni z kręgów betonowych C45/55 wraz z przejściami szczelnymi o śr. wewn. min. 1200 mm i H min. 4400 mm posadowiony na płycie z betonu. Zbiornik wyposażony w elementy  zgodnie z projektem budowlanym</w:t>
      </w:r>
    </w:p>
    <w:p w:rsidR="007B1B07" w:rsidRPr="00AE161A" w:rsidRDefault="007B1B07" w:rsidP="007B1B07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 xml:space="preserve">Zagospodarowanie przepompowni: 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oświetlenie – lampa typu parkowego z oprawą LED z wyłącznikiem zmierzchowym i czujnikiem ruchu.</w:t>
      </w:r>
    </w:p>
    <w:p w:rsidR="007B1B07" w:rsidRPr="00AE161A" w:rsidRDefault="007B1B07" w:rsidP="007B1B07">
      <w:pPr>
        <w:numPr>
          <w:ilvl w:val="0"/>
          <w:numId w:val="25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utwardzenie terenu z kostki betonowej o gr. 8 cm – min.18,02 m², krawężnik betonowy wtopiony. Na całej powierzchni pompowni należy dokonać wymiany gruntu do głębokości 0,5 m pod poziomem terenu.</w:t>
      </w:r>
    </w:p>
    <w:p w:rsidR="007B1B07" w:rsidRPr="00AE161A" w:rsidRDefault="007B1B07" w:rsidP="007B1B07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Zasilanie energetyczne do przepompowni zgodnie z projektem budowlanym branży elektrycznej</w:t>
      </w:r>
    </w:p>
    <w:p w:rsidR="007B1B07" w:rsidRPr="00AE161A" w:rsidRDefault="007B1B07" w:rsidP="007B1B07">
      <w:pPr>
        <w:numPr>
          <w:ilvl w:val="0"/>
          <w:numId w:val="30"/>
        </w:numPr>
        <w:suppressAutoHyphens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AE161A">
        <w:rPr>
          <w:rFonts w:ascii="Arial" w:hAnsi="Arial" w:cs="Arial"/>
          <w:bCs/>
          <w:sz w:val="22"/>
          <w:szCs w:val="22"/>
        </w:rPr>
        <w:t>Przyłącze kanalizacji sanitarnej do dz. 112/21 wykonane z rur PVC o śr. Ø 160 SN8 SDR34 L=30,7 m, studnie tworzywowe DN630 z włazem żeliwno-betonowym – 2 szt.</w:t>
      </w:r>
    </w:p>
    <w:p w:rsidR="007B1B07" w:rsidRPr="00AE161A" w:rsidRDefault="007B1B07" w:rsidP="007B1B07">
      <w:pPr>
        <w:ind w:left="1068"/>
        <w:rPr>
          <w:rFonts w:ascii="Arial" w:hAnsi="Arial" w:cs="Arial"/>
          <w:bCs/>
          <w:sz w:val="22"/>
          <w:szCs w:val="22"/>
        </w:rPr>
      </w:pPr>
    </w:p>
    <w:p w:rsidR="007B1B07" w:rsidRPr="0053186F" w:rsidRDefault="007B1B07" w:rsidP="007B1B07">
      <w:pPr>
        <w:tabs>
          <w:tab w:val="left" w:pos="148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57554E">
        <w:rPr>
          <w:rFonts w:ascii="Arial" w:hAnsi="Arial" w:cs="Arial"/>
          <w:sz w:val="22"/>
          <w:szCs w:val="22"/>
        </w:rPr>
        <w:t>Wszystkie prace zostały wykonane w jednym etapie, zgodnie z harmonogramem rzeczowo-finansowym</w:t>
      </w:r>
      <w:r w:rsidR="00A454A8">
        <w:rPr>
          <w:rFonts w:ascii="Arial" w:hAnsi="Arial" w:cs="Arial"/>
          <w:sz w:val="22"/>
          <w:szCs w:val="22"/>
        </w:rPr>
        <w:t xml:space="preserve">. </w:t>
      </w:r>
      <w:r w:rsidRPr="0057554E">
        <w:rPr>
          <w:rFonts w:ascii="Arial" w:hAnsi="Arial" w:cs="Arial"/>
          <w:sz w:val="22"/>
          <w:szCs w:val="22"/>
        </w:rPr>
        <w:t xml:space="preserve">W czasie realizacji zadania nie pojawiły się żadne komplikacje, odstępstwa od projektu budowlanego oraz inne zaburzenia budowy, powodujące powstanie odchyleń w zakresie </w:t>
      </w:r>
      <w:r w:rsidRPr="0057554E">
        <w:rPr>
          <w:rFonts w:ascii="Arial" w:hAnsi="Arial" w:cs="Arial"/>
          <w:sz w:val="22"/>
          <w:szCs w:val="22"/>
        </w:rPr>
        <w:lastRenderedPageBreak/>
        <w:t>rzeczowym</w:t>
      </w:r>
      <w:r>
        <w:rPr>
          <w:rFonts w:ascii="Arial" w:hAnsi="Arial" w:cs="Arial"/>
          <w:sz w:val="22"/>
          <w:szCs w:val="22"/>
        </w:rPr>
        <w:t xml:space="preserve">. </w:t>
      </w:r>
      <w:r w:rsidRPr="0057554E">
        <w:rPr>
          <w:rFonts w:ascii="Arial" w:hAnsi="Arial" w:cs="Arial"/>
          <w:sz w:val="22"/>
          <w:szCs w:val="22"/>
        </w:rPr>
        <w:t>Dzięki realizacji w</w:t>
      </w:r>
      <w:r w:rsidR="00A454A8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Pr="0057554E">
        <w:rPr>
          <w:rFonts w:ascii="Arial" w:hAnsi="Arial" w:cs="Arial"/>
          <w:sz w:val="22"/>
          <w:szCs w:val="22"/>
        </w:rPr>
        <w:t xml:space="preserve">w zadań został osiągnięty cel projektu zakładający </w:t>
      </w:r>
      <w:r>
        <w:rPr>
          <w:rFonts w:ascii="Arial" w:hAnsi="Arial" w:cs="Arial"/>
          <w:sz w:val="22"/>
          <w:szCs w:val="22"/>
        </w:rPr>
        <w:t>poprawę</w:t>
      </w:r>
      <w:r w:rsidRPr="0057554E">
        <w:rPr>
          <w:rFonts w:ascii="Arial" w:hAnsi="Arial" w:cs="Arial"/>
          <w:sz w:val="22"/>
          <w:szCs w:val="22"/>
        </w:rPr>
        <w:t xml:space="preserve"> stanu infrastruktury technicznej w zakresie odprowadzania </w:t>
      </w:r>
      <w:r>
        <w:rPr>
          <w:rFonts w:ascii="Arial" w:hAnsi="Arial" w:cs="Arial"/>
          <w:sz w:val="22"/>
          <w:szCs w:val="22"/>
        </w:rPr>
        <w:t xml:space="preserve">i oczyszczania </w:t>
      </w:r>
      <w:r w:rsidRPr="0057554E">
        <w:rPr>
          <w:rFonts w:ascii="Arial" w:hAnsi="Arial" w:cs="Arial"/>
          <w:sz w:val="22"/>
          <w:szCs w:val="22"/>
        </w:rPr>
        <w:t>ścieków w Gminie Cewice. Po przeprowadzeniu wszystkich wymaganych prawem prób prace ostatecznie odebrano bez zastrzeżeń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B1B07" w:rsidRPr="004F0112" w:rsidRDefault="007B1B07" w:rsidP="007B1B07">
      <w:pPr>
        <w:spacing w:line="360" w:lineRule="auto"/>
        <w:jc w:val="both"/>
        <w:rPr>
          <w:rFonts w:ascii="Arial" w:hAnsi="Arial" w:cs="Arial"/>
        </w:rPr>
      </w:pPr>
    </w:p>
    <w:sectPr w:rsidR="007B1B07" w:rsidRPr="004F0112" w:rsidSect="00E91A2C">
      <w:footerReference w:type="default" r:id="rId9"/>
      <w:type w:val="continuous"/>
      <w:pgSz w:w="11905" w:h="16837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FA" w:rsidRDefault="00D26AFA">
      <w:r>
        <w:separator/>
      </w:r>
    </w:p>
  </w:endnote>
  <w:endnote w:type="continuationSeparator" w:id="0">
    <w:p w:rsidR="00D26AFA" w:rsidRDefault="00D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3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4A8" w:rsidRDefault="00A454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4A8" w:rsidRDefault="00A45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FA" w:rsidRDefault="00D26AFA">
      <w:r>
        <w:separator/>
      </w:r>
    </w:p>
  </w:footnote>
  <w:footnote w:type="continuationSeparator" w:id="0">
    <w:p w:rsidR="00D26AFA" w:rsidRDefault="00D2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60D"/>
    <w:multiLevelType w:val="hybridMultilevel"/>
    <w:tmpl w:val="F8660D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6493"/>
    <w:multiLevelType w:val="hybridMultilevel"/>
    <w:tmpl w:val="38FC73D6"/>
    <w:lvl w:ilvl="0" w:tplc="9CD290B6">
      <w:start w:val="1"/>
      <w:numFmt w:val="lowerLetter"/>
      <w:lvlText w:val="%1)"/>
      <w:lvlJc w:val="left"/>
      <w:pPr>
        <w:tabs>
          <w:tab w:val="num" w:pos="1084"/>
        </w:tabs>
        <w:ind w:left="1084" w:hanging="360"/>
      </w:pPr>
    </w:lvl>
    <w:lvl w:ilvl="1" w:tplc="FBE89836">
      <w:start w:val="1"/>
      <w:numFmt w:val="lowerLetter"/>
      <w:lvlText w:val="%2)"/>
      <w:lvlJc w:val="left"/>
      <w:pPr>
        <w:tabs>
          <w:tab w:val="num" w:pos="1727"/>
        </w:tabs>
        <w:ind w:left="172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C387B0A">
      <w:start w:val="5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">
    <w:nsid w:val="10D32930"/>
    <w:multiLevelType w:val="hybridMultilevel"/>
    <w:tmpl w:val="B076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858"/>
    <w:multiLevelType w:val="hybridMultilevel"/>
    <w:tmpl w:val="64A201AC"/>
    <w:lvl w:ilvl="0" w:tplc="0AD84EDE">
      <w:start w:val="9"/>
      <w:numFmt w:val="lowerLetter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FBE89836">
      <w:start w:val="1"/>
      <w:numFmt w:val="lowerLetter"/>
      <w:lvlText w:val="%2)"/>
      <w:lvlJc w:val="left"/>
      <w:pPr>
        <w:tabs>
          <w:tab w:val="num" w:pos="1727"/>
        </w:tabs>
        <w:ind w:left="172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C387B0A">
      <w:start w:val="5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">
    <w:nsid w:val="1739298A"/>
    <w:multiLevelType w:val="hybridMultilevel"/>
    <w:tmpl w:val="C69E557C"/>
    <w:lvl w:ilvl="0" w:tplc="DCA2C3A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B3BBE"/>
    <w:multiLevelType w:val="hybridMultilevel"/>
    <w:tmpl w:val="546E70C4"/>
    <w:lvl w:ilvl="0" w:tplc="1084F2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C80"/>
    <w:multiLevelType w:val="singleLevel"/>
    <w:tmpl w:val="544E88C8"/>
    <w:lvl w:ilvl="0">
      <w:start w:val="5"/>
      <w:numFmt w:val="lowerLetter"/>
      <w:lvlText w:val="%1)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7">
    <w:nsid w:val="1E670147"/>
    <w:multiLevelType w:val="hybridMultilevel"/>
    <w:tmpl w:val="8180B440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1F891420"/>
    <w:multiLevelType w:val="hybridMultilevel"/>
    <w:tmpl w:val="1916AB68"/>
    <w:lvl w:ilvl="0" w:tplc="29EE074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4284F"/>
    <w:multiLevelType w:val="hybridMultilevel"/>
    <w:tmpl w:val="5058C30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3E82BCE"/>
    <w:multiLevelType w:val="hybridMultilevel"/>
    <w:tmpl w:val="9F5061DC"/>
    <w:lvl w:ilvl="0" w:tplc="126E57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B7DE7"/>
    <w:multiLevelType w:val="hybridMultilevel"/>
    <w:tmpl w:val="90406036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8B732D1"/>
    <w:multiLevelType w:val="hybridMultilevel"/>
    <w:tmpl w:val="F01614A8"/>
    <w:lvl w:ilvl="0" w:tplc="9A6CB6E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293E5701"/>
    <w:multiLevelType w:val="hybridMultilevel"/>
    <w:tmpl w:val="F3AA50C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286E41"/>
    <w:multiLevelType w:val="hybridMultilevel"/>
    <w:tmpl w:val="67E8BDAC"/>
    <w:lvl w:ilvl="0" w:tplc="513003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54CDA"/>
    <w:multiLevelType w:val="hybridMultilevel"/>
    <w:tmpl w:val="3F0AE2A4"/>
    <w:lvl w:ilvl="0" w:tplc="74E29E8E">
      <w:start w:val="9"/>
      <w:numFmt w:val="lowerLetter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D0E14"/>
    <w:multiLevelType w:val="singleLevel"/>
    <w:tmpl w:val="24E0032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02316F"/>
    <w:multiLevelType w:val="hybridMultilevel"/>
    <w:tmpl w:val="770210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970BC"/>
    <w:multiLevelType w:val="hybridMultilevel"/>
    <w:tmpl w:val="7494C73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C6437E"/>
    <w:multiLevelType w:val="hybridMultilevel"/>
    <w:tmpl w:val="E9B0B896"/>
    <w:lvl w:ilvl="0" w:tplc="9B4A04A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30901"/>
    <w:multiLevelType w:val="hybridMultilevel"/>
    <w:tmpl w:val="31E822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494E85"/>
    <w:multiLevelType w:val="hybridMultilevel"/>
    <w:tmpl w:val="DAD01E5C"/>
    <w:lvl w:ilvl="0" w:tplc="3B36D62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8E29E1"/>
    <w:multiLevelType w:val="hybridMultilevel"/>
    <w:tmpl w:val="9648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755F7"/>
    <w:multiLevelType w:val="hybridMultilevel"/>
    <w:tmpl w:val="7DA21FB4"/>
    <w:lvl w:ilvl="0" w:tplc="E1E0ED9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A3871"/>
    <w:multiLevelType w:val="hybridMultilevel"/>
    <w:tmpl w:val="1150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36A84"/>
    <w:multiLevelType w:val="hybridMultilevel"/>
    <w:tmpl w:val="29CAADD4"/>
    <w:lvl w:ilvl="0" w:tplc="102A7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2F3307"/>
    <w:multiLevelType w:val="hybridMultilevel"/>
    <w:tmpl w:val="AE208D34"/>
    <w:lvl w:ilvl="0" w:tplc="94561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9250E"/>
    <w:multiLevelType w:val="hybridMultilevel"/>
    <w:tmpl w:val="4C5265E4"/>
    <w:lvl w:ilvl="0" w:tplc="5524BD4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D61AFE"/>
    <w:multiLevelType w:val="hybridMultilevel"/>
    <w:tmpl w:val="E9669146"/>
    <w:lvl w:ilvl="0" w:tplc="D6A2BFA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5117B3"/>
    <w:multiLevelType w:val="hybridMultilevel"/>
    <w:tmpl w:val="1FE4BD76"/>
    <w:lvl w:ilvl="0" w:tplc="43CE8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C22F6"/>
    <w:multiLevelType w:val="hybridMultilevel"/>
    <w:tmpl w:val="D92CFB48"/>
    <w:lvl w:ilvl="0" w:tplc="0415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9B4A04A0">
      <w:start w:val="1"/>
      <w:numFmt w:val="bullet"/>
      <w:lvlText w:val="−"/>
      <w:lvlJc w:val="left"/>
      <w:pPr>
        <w:tabs>
          <w:tab w:val="num" w:pos="1727"/>
        </w:tabs>
        <w:ind w:left="1727" w:hanging="283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C387B0A">
      <w:start w:val="5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1">
    <w:nsid w:val="710F0B9E"/>
    <w:multiLevelType w:val="singleLevel"/>
    <w:tmpl w:val="C4E03C64"/>
    <w:lvl w:ilvl="0">
      <w:start w:val="1"/>
      <w:numFmt w:val="lowerLetter"/>
      <w:lvlText w:val="%1)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32">
    <w:nsid w:val="72EB03AC"/>
    <w:multiLevelType w:val="hybridMultilevel"/>
    <w:tmpl w:val="588AFED4"/>
    <w:lvl w:ilvl="0" w:tplc="4482C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C2A43"/>
    <w:multiLevelType w:val="hybridMultilevel"/>
    <w:tmpl w:val="9154C8D6"/>
    <w:lvl w:ilvl="0" w:tplc="0415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FBE89836">
      <w:start w:val="1"/>
      <w:numFmt w:val="lowerLetter"/>
      <w:lvlText w:val="%2)"/>
      <w:lvlJc w:val="left"/>
      <w:pPr>
        <w:tabs>
          <w:tab w:val="num" w:pos="1727"/>
        </w:tabs>
        <w:ind w:left="172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FC387B0A">
      <w:start w:val="5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4">
    <w:nsid w:val="7706656C"/>
    <w:multiLevelType w:val="hybridMultilevel"/>
    <w:tmpl w:val="343663D6"/>
    <w:lvl w:ilvl="0" w:tplc="957081F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DA7107"/>
    <w:multiLevelType w:val="hybridMultilevel"/>
    <w:tmpl w:val="BF083998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2"/>
  </w:num>
  <w:num w:numId="4">
    <w:abstractNumId w:val="31"/>
  </w:num>
  <w:num w:numId="5">
    <w:abstractNumId w:val="6"/>
  </w:num>
  <w:num w:numId="6">
    <w:abstractNumId w:val="16"/>
  </w:num>
  <w:num w:numId="7">
    <w:abstractNumId w:val="33"/>
  </w:num>
  <w:num w:numId="8">
    <w:abstractNumId w:val="1"/>
  </w:num>
  <w:num w:numId="9">
    <w:abstractNumId w:val="30"/>
  </w:num>
  <w:num w:numId="10">
    <w:abstractNumId w:val="7"/>
  </w:num>
  <w:num w:numId="11">
    <w:abstractNumId w:val="23"/>
  </w:num>
  <w:num w:numId="12">
    <w:abstractNumId w:val="3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24"/>
  </w:num>
  <w:num w:numId="18">
    <w:abstractNumId w:val="2"/>
  </w:num>
  <w:num w:numId="19">
    <w:abstractNumId w:val="29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5"/>
  </w:num>
  <w:num w:numId="24">
    <w:abstractNumId w:val="35"/>
  </w:num>
  <w:num w:numId="25">
    <w:abstractNumId w:val="11"/>
  </w:num>
  <w:num w:numId="26">
    <w:abstractNumId w:val="27"/>
  </w:num>
  <w:num w:numId="27">
    <w:abstractNumId w:val="8"/>
  </w:num>
  <w:num w:numId="28">
    <w:abstractNumId w:val="28"/>
  </w:num>
  <w:num w:numId="29">
    <w:abstractNumId w:val="4"/>
  </w:num>
  <w:num w:numId="30">
    <w:abstractNumId w:val="34"/>
  </w:num>
  <w:num w:numId="31">
    <w:abstractNumId w:val="18"/>
  </w:num>
  <w:num w:numId="32">
    <w:abstractNumId w:val="13"/>
  </w:num>
  <w:num w:numId="33">
    <w:abstractNumId w:val="26"/>
  </w:num>
  <w:num w:numId="34">
    <w:abstractNumId w:val="12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5"/>
    <w:rsid w:val="000164B0"/>
    <w:rsid w:val="000517DD"/>
    <w:rsid w:val="000F249F"/>
    <w:rsid w:val="001D2614"/>
    <w:rsid w:val="00201F7D"/>
    <w:rsid w:val="00252E04"/>
    <w:rsid w:val="0025525A"/>
    <w:rsid w:val="00266F22"/>
    <w:rsid w:val="00325703"/>
    <w:rsid w:val="00362E71"/>
    <w:rsid w:val="003768F0"/>
    <w:rsid w:val="003976B6"/>
    <w:rsid w:val="003C0B58"/>
    <w:rsid w:val="003E05A2"/>
    <w:rsid w:val="00445487"/>
    <w:rsid w:val="0047023F"/>
    <w:rsid w:val="004A4490"/>
    <w:rsid w:val="004C2E7F"/>
    <w:rsid w:val="004E59DA"/>
    <w:rsid w:val="004F0112"/>
    <w:rsid w:val="00501FE0"/>
    <w:rsid w:val="0050746D"/>
    <w:rsid w:val="00546CA8"/>
    <w:rsid w:val="00550B71"/>
    <w:rsid w:val="0055192C"/>
    <w:rsid w:val="00582E84"/>
    <w:rsid w:val="005C688D"/>
    <w:rsid w:val="005F3EAD"/>
    <w:rsid w:val="00602795"/>
    <w:rsid w:val="006657E7"/>
    <w:rsid w:val="006B72D5"/>
    <w:rsid w:val="006E0C79"/>
    <w:rsid w:val="007343EF"/>
    <w:rsid w:val="007B1B07"/>
    <w:rsid w:val="007B268D"/>
    <w:rsid w:val="007E496B"/>
    <w:rsid w:val="0080619F"/>
    <w:rsid w:val="008078F0"/>
    <w:rsid w:val="00816C8A"/>
    <w:rsid w:val="00864CB5"/>
    <w:rsid w:val="00890256"/>
    <w:rsid w:val="008A00E4"/>
    <w:rsid w:val="008D209D"/>
    <w:rsid w:val="008E010A"/>
    <w:rsid w:val="008E1B4E"/>
    <w:rsid w:val="008E6847"/>
    <w:rsid w:val="008F51F5"/>
    <w:rsid w:val="009031A2"/>
    <w:rsid w:val="00905856"/>
    <w:rsid w:val="00972F27"/>
    <w:rsid w:val="00991A72"/>
    <w:rsid w:val="009A6021"/>
    <w:rsid w:val="009B497D"/>
    <w:rsid w:val="009D4E08"/>
    <w:rsid w:val="00A454A8"/>
    <w:rsid w:val="00AA2E8C"/>
    <w:rsid w:val="00AC7899"/>
    <w:rsid w:val="00B251EA"/>
    <w:rsid w:val="00B36589"/>
    <w:rsid w:val="00B50DAA"/>
    <w:rsid w:val="00B700A8"/>
    <w:rsid w:val="00B86B0D"/>
    <w:rsid w:val="00B90C52"/>
    <w:rsid w:val="00BB0D17"/>
    <w:rsid w:val="00BC5B89"/>
    <w:rsid w:val="00C67695"/>
    <w:rsid w:val="00C946B2"/>
    <w:rsid w:val="00CA1EA3"/>
    <w:rsid w:val="00CE0CF7"/>
    <w:rsid w:val="00CE7C7A"/>
    <w:rsid w:val="00D26AFA"/>
    <w:rsid w:val="00D35620"/>
    <w:rsid w:val="00D6499E"/>
    <w:rsid w:val="00DB588B"/>
    <w:rsid w:val="00DC2344"/>
    <w:rsid w:val="00DE1A39"/>
    <w:rsid w:val="00E333F9"/>
    <w:rsid w:val="00E91A2C"/>
    <w:rsid w:val="00E94ADD"/>
    <w:rsid w:val="00EA1530"/>
    <w:rsid w:val="00EB22C8"/>
    <w:rsid w:val="00EE26E2"/>
    <w:rsid w:val="00F21C23"/>
    <w:rsid w:val="00F2388C"/>
    <w:rsid w:val="00F56740"/>
    <w:rsid w:val="00F57D71"/>
    <w:rsid w:val="00F60DC5"/>
    <w:rsid w:val="00F625C0"/>
    <w:rsid w:val="00F93BEC"/>
    <w:rsid w:val="00F96BC4"/>
    <w:rsid w:val="00FF261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02" w:lineRule="exact"/>
      <w:jc w:val="center"/>
    </w:pPr>
  </w:style>
  <w:style w:type="character" w:customStyle="1" w:styleId="FontStyle11">
    <w:name w:val="Font Style11"/>
    <w:basedOn w:val="Domylnaczcionkaakapitu"/>
    <w:rPr>
      <w:rFonts w:ascii="Palatino Linotype" w:hAnsi="Palatino Linotype" w:cs="Palatino Linotype"/>
      <w:b/>
      <w:bCs/>
      <w:color w:val="000000"/>
      <w:spacing w:val="-10"/>
      <w:sz w:val="24"/>
      <w:szCs w:val="24"/>
    </w:rPr>
  </w:style>
  <w:style w:type="character" w:customStyle="1" w:styleId="FontStyle12">
    <w:name w:val="Font Style12"/>
    <w:basedOn w:val="Domylnaczcionkaakapitu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3">
    <w:name w:val="Font Style13"/>
    <w:basedOn w:val="Domylnaczcionkaakapitu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Nagwek">
    <w:name w:val="header"/>
    <w:basedOn w:val="Normalny"/>
    <w:rsid w:val="00EE26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26E2"/>
    <w:pPr>
      <w:tabs>
        <w:tab w:val="center" w:pos="4536"/>
        <w:tab w:val="right" w:pos="9072"/>
      </w:tabs>
    </w:pPr>
  </w:style>
  <w:style w:type="paragraph" w:customStyle="1" w:styleId="Style39">
    <w:name w:val="Style39"/>
    <w:basedOn w:val="Normalny"/>
    <w:rsid w:val="003E05A2"/>
    <w:pPr>
      <w:jc w:val="both"/>
    </w:pPr>
    <w:rPr>
      <w:rFonts w:ascii="Arial" w:hAnsi="Arial"/>
    </w:rPr>
  </w:style>
  <w:style w:type="character" w:customStyle="1" w:styleId="FontStyle174">
    <w:name w:val="Font Style174"/>
    <w:basedOn w:val="Domylnaczcionkaakapitu"/>
    <w:rsid w:val="003E05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3E05A2"/>
    <w:pPr>
      <w:spacing w:line="277" w:lineRule="exact"/>
      <w:jc w:val="both"/>
    </w:pPr>
    <w:rPr>
      <w:rFonts w:ascii="Arial" w:hAnsi="Arial"/>
    </w:rPr>
  </w:style>
  <w:style w:type="paragraph" w:customStyle="1" w:styleId="Style51">
    <w:name w:val="Style51"/>
    <w:basedOn w:val="Normalny"/>
    <w:rsid w:val="003E05A2"/>
    <w:pPr>
      <w:spacing w:line="381" w:lineRule="exact"/>
      <w:ind w:hanging="469"/>
      <w:jc w:val="both"/>
    </w:pPr>
    <w:rPr>
      <w:rFonts w:ascii="Arial" w:hAnsi="Arial"/>
    </w:rPr>
  </w:style>
  <w:style w:type="paragraph" w:customStyle="1" w:styleId="Style60">
    <w:name w:val="Style60"/>
    <w:basedOn w:val="Normalny"/>
    <w:rsid w:val="003E05A2"/>
    <w:pPr>
      <w:spacing w:line="378" w:lineRule="exact"/>
    </w:pPr>
    <w:rPr>
      <w:rFonts w:ascii="Arial" w:hAnsi="Arial"/>
    </w:rPr>
  </w:style>
  <w:style w:type="paragraph" w:customStyle="1" w:styleId="Style61">
    <w:name w:val="Style61"/>
    <w:basedOn w:val="Normalny"/>
    <w:rsid w:val="003E05A2"/>
    <w:pPr>
      <w:spacing w:line="383" w:lineRule="exact"/>
      <w:jc w:val="both"/>
    </w:pPr>
    <w:rPr>
      <w:rFonts w:ascii="Arial" w:hAnsi="Arial"/>
    </w:rPr>
  </w:style>
  <w:style w:type="paragraph" w:customStyle="1" w:styleId="Style80">
    <w:name w:val="Style80"/>
    <w:basedOn w:val="Normalny"/>
    <w:rsid w:val="003E05A2"/>
    <w:pPr>
      <w:spacing w:line="290" w:lineRule="exact"/>
      <w:ind w:hanging="344"/>
      <w:jc w:val="both"/>
    </w:pPr>
    <w:rPr>
      <w:rFonts w:ascii="Arial" w:hAnsi="Arial"/>
    </w:rPr>
  </w:style>
  <w:style w:type="character" w:customStyle="1" w:styleId="FontStyle154">
    <w:name w:val="Font Style154"/>
    <w:basedOn w:val="Domylnaczcionkaakapitu"/>
    <w:rsid w:val="003E05A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7">
    <w:name w:val="Font Style157"/>
    <w:basedOn w:val="Domylnaczcionkaakapitu"/>
    <w:rsid w:val="008A00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3">
    <w:name w:val="Style93"/>
    <w:basedOn w:val="Normalny"/>
    <w:rsid w:val="008A00E4"/>
    <w:pPr>
      <w:spacing w:line="273" w:lineRule="exact"/>
      <w:jc w:val="both"/>
    </w:pPr>
    <w:rPr>
      <w:rFonts w:ascii="Arial" w:hAnsi="Arial"/>
    </w:rPr>
  </w:style>
  <w:style w:type="paragraph" w:customStyle="1" w:styleId="Style94">
    <w:name w:val="Style94"/>
    <w:basedOn w:val="Normalny"/>
    <w:rsid w:val="008A00E4"/>
    <w:pPr>
      <w:spacing w:line="276" w:lineRule="exact"/>
      <w:ind w:firstLine="359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4F011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45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4A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454A8"/>
    <w:rPr>
      <w:rFonts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  <w:pPr>
      <w:spacing w:line="202" w:lineRule="exact"/>
      <w:jc w:val="center"/>
    </w:pPr>
  </w:style>
  <w:style w:type="character" w:customStyle="1" w:styleId="FontStyle11">
    <w:name w:val="Font Style11"/>
    <w:basedOn w:val="Domylnaczcionkaakapitu"/>
    <w:rPr>
      <w:rFonts w:ascii="Palatino Linotype" w:hAnsi="Palatino Linotype" w:cs="Palatino Linotype"/>
      <w:b/>
      <w:bCs/>
      <w:color w:val="000000"/>
      <w:spacing w:val="-10"/>
      <w:sz w:val="24"/>
      <w:szCs w:val="24"/>
    </w:rPr>
  </w:style>
  <w:style w:type="character" w:customStyle="1" w:styleId="FontStyle12">
    <w:name w:val="Font Style12"/>
    <w:basedOn w:val="Domylnaczcionkaakapitu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3">
    <w:name w:val="Font Style13"/>
    <w:basedOn w:val="Domylnaczcionkaakapitu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Nagwek">
    <w:name w:val="header"/>
    <w:basedOn w:val="Normalny"/>
    <w:rsid w:val="00EE26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26E2"/>
    <w:pPr>
      <w:tabs>
        <w:tab w:val="center" w:pos="4536"/>
        <w:tab w:val="right" w:pos="9072"/>
      </w:tabs>
    </w:pPr>
  </w:style>
  <w:style w:type="paragraph" w:customStyle="1" w:styleId="Style39">
    <w:name w:val="Style39"/>
    <w:basedOn w:val="Normalny"/>
    <w:rsid w:val="003E05A2"/>
    <w:pPr>
      <w:jc w:val="both"/>
    </w:pPr>
    <w:rPr>
      <w:rFonts w:ascii="Arial" w:hAnsi="Arial"/>
    </w:rPr>
  </w:style>
  <w:style w:type="character" w:customStyle="1" w:styleId="FontStyle174">
    <w:name w:val="Font Style174"/>
    <w:basedOn w:val="Domylnaczcionkaakapitu"/>
    <w:rsid w:val="003E05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3E05A2"/>
    <w:pPr>
      <w:spacing w:line="277" w:lineRule="exact"/>
      <w:jc w:val="both"/>
    </w:pPr>
    <w:rPr>
      <w:rFonts w:ascii="Arial" w:hAnsi="Arial"/>
    </w:rPr>
  </w:style>
  <w:style w:type="paragraph" w:customStyle="1" w:styleId="Style51">
    <w:name w:val="Style51"/>
    <w:basedOn w:val="Normalny"/>
    <w:rsid w:val="003E05A2"/>
    <w:pPr>
      <w:spacing w:line="381" w:lineRule="exact"/>
      <w:ind w:hanging="469"/>
      <w:jc w:val="both"/>
    </w:pPr>
    <w:rPr>
      <w:rFonts w:ascii="Arial" w:hAnsi="Arial"/>
    </w:rPr>
  </w:style>
  <w:style w:type="paragraph" w:customStyle="1" w:styleId="Style60">
    <w:name w:val="Style60"/>
    <w:basedOn w:val="Normalny"/>
    <w:rsid w:val="003E05A2"/>
    <w:pPr>
      <w:spacing w:line="378" w:lineRule="exact"/>
    </w:pPr>
    <w:rPr>
      <w:rFonts w:ascii="Arial" w:hAnsi="Arial"/>
    </w:rPr>
  </w:style>
  <w:style w:type="paragraph" w:customStyle="1" w:styleId="Style61">
    <w:name w:val="Style61"/>
    <w:basedOn w:val="Normalny"/>
    <w:rsid w:val="003E05A2"/>
    <w:pPr>
      <w:spacing w:line="383" w:lineRule="exact"/>
      <w:jc w:val="both"/>
    </w:pPr>
    <w:rPr>
      <w:rFonts w:ascii="Arial" w:hAnsi="Arial"/>
    </w:rPr>
  </w:style>
  <w:style w:type="paragraph" w:customStyle="1" w:styleId="Style80">
    <w:name w:val="Style80"/>
    <w:basedOn w:val="Normalny"/>
    <w:rsid w:val="003E05A2"/>
    <w:pPr>
      <w:spacing w:line="290" w:lineRule="exact"/>
      <w:ind w:hanging="344"/>
      <w:jc w:val="both"/>
    </w:pPr>
    <w:rPr>
      <w:rFonts w:ascii="Arial" w:hAnsi="Arial"/>
    </w:rPr>
  </w:style>
  <w:style w:type="character" w:customStyle="1" w:styleId="FontStyle154">
    <w:name w:val="Font Style154"/>
    <w:basedOn w:val="Domylnaczcionkaakapitu"/>
    <w:rsid w:val="003E05A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7">
    <w:name w:val="Font Style157"/>
    <w:basedOn w:val="Domylnaczcionkaakapitu"/>
    <w:rsid w:val="008A00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3">
    <w:name w:val="Style93"/>
    <w:basedOn w:val="Normalny"/>
    <w:rsid w:val="008A00E4"/>
    <w:pPr>
      <w:spacing w:line="273" w:lineRule="exact"/>
      <w:jc w:val="both"/>
    </w:pPr>
    <w:rPr>
      <w:rFonts w:ascii="Arial" w:hAnsi="Arial"/>
    </w:rPr>
  </w:style>
  <w:style w:type="paragraph" w:customStyle="1" w:styleId="Style94">
    <w:name w:val="Style94"/>
    <w:basedOn w:val="Normalny"/>
    <w:rsid w:val="008A00E4"/>
    <w:pPr>
      <w:spacing w:line="276" w:lineRule="exact"/>
      <w:ind w:firstLine="359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4F011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45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4A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454A8"/>
    <w:rPr>
      <w:rFonts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CD2-65C2-4E32-A401-DA52AB41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HP</Company>
  <LinksUpToDate>false</LinksUpToDate>
  <CharactersWithSpaces>9874</CharactersWithSpaces>
  <SharedDoc>false</SharedDoc>
  <HLinks>
    <vt:vector size="12" baseType="variant"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mailto:sekretariat@cewice.pl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admin</dc:creator>
  <cp:lastModifiedBy>skarbnik</cp:lastModifiedBy>
  <cp:revision>3</cp:revision>
  <cp:lastPrinted>2015-07-13T11:04:00Z</cp:lastPrinted>
  <dcterms:created xsi:type="dcterms:W3CDTF">2015-07-13T11:20:00Z</dcterms:created>
  <dcterms:modified xsi:type="dcterms:W3CDTF">2015-07-13T11:41:00Z</dcterms:modified>
</cp:coreProperties>
</file>